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B6402" w14:textId="22A49C41" w:rsidR="003543F6" w:rsidRPr="00FB7BAC" w:rsidRDefault="00E85B2B">
      <w:pPr>
        <w:rPr>
          <w:sz w:val="56"/>
          <w:szCs w:val="56"/>
        </w:rPr>
      </w:pPr>
      <w:bookmarkStart w:id="0" w:name="_gjdgxs" w:colFirst="0" w:colLast="0"/>
      <w:bookmarkEnd w:id="0"/>
      <w:r>
        <w:rPr>
          <w:sz w:val="56"/>
          <w:szCs w:val="56"/>
        </w:rPr>
        <w:t>TSDSI recommendations for the funding proposals</w:t>
      </w:r>
    </w:p>
    <w:p w14:paraId="112887FB" w14:textId="77777777" w:rsidR="003543F6" w:rsidRDefault="00E85B2B">
      <w:pPr>
        <w:pStyle w:val="Heading1"/>
      </w:pPr>
      <w:r>
        <w:t>Introduction</w:t>
      </w:r>
    </w:p>
    <w:p w14:paraId="5AF56759" w14:textId="77777777" w:rsidR="003543F6" w:rsidRDefault="00E85B2B">
      <w:pPr>
        <w:rPr>
          <w:sz w:val="28"/>
          <w:szCs w:val="28"/>
        </w:rPr>
      </w:pPr>
      <w:r>
        <w:rPr>
          <w:sz w:val="28"/>
          <w:szCs w:val="28"/>
        </w:rPr>
        <w:t>The three buckets in which we are having discussion are as follows:</w:t>
      </w:r>
    </w:p>
    <w:p w14:paraId="138A9FE5" w14:textId="77777777" w:rsidR="003543F6" w:rsidRPr="00FB7BAC" w:rsidRDefault="00E85B2B">
      <w:pPr>
        <w:rPr>
          <w:b/>
          <w:bCs/>
          <w:sz w:val="28"/>
          <w:szCs w:val="28"/>
        </w:rPr>
      </w:pPr>
      <w:r w:rsidRPr="00FB7BAC">
        <w:rPr>
          <w:b/>
          <w:bCs/>
          <w:sz w:val="28"/>
          <w:szCs w:val="28"/>
        </w:rPr>
        <w:t>Management of funds:</w:t>
      </w:r>
    </w:p>
    <w:p w14:paraId="4824D082" w14:textId="6CC277AF" w:rsidR="003543F6" w:rsidRDefault="00E85B2B" w:rsidP="00FB7BAC">
      <w:pPr>
        <w:jc w:val="both"/>
        <w:rPr>
          <w:sz w:val="28"/>
          <w:szCs w:val="28"/>
        </w:rPr>
      </w:pPr>
      <w:r>
        <w:rPr>
          <w:sz w:val="28"/>
          <w:szCs w:val="28"/>
        </w:rPr>
        <w:t>Management per OPs: The fund collected by central authority will be equally distributed among the OPs willing to organize the event and after that each OPs will manage the budget. The OPs will be free to generate additional resources through spon</w:t>
      </w:r>
      <w:r>
        <w:rPr>
          <w:sz w:val="28"/>
          <w:szCs w:val="28"/>
        </w:rPr>
        <w:t>sorship over the above budget.</w:t>
      </w:r>
    </w:p>
    <w:p w14:paraId="475FED88" w14:textId="77777777" w:rsidR="003543F6" w:rsidRPr="00FB7BAC" w:rsidRDefault="00E85B2B">
      <w:pPr>
        <w:rPr>
          <w:b/>
          <w:bCs/>
          <w:sz w:val="28"/>
          <w:szCs w:val="28"/>
        </w:rPr>
      </w:pPr>
      <w:r w:rsidRPr="00FB7BAC">
        <w:rPr>
          <w:b/>
          <w:bCs/>
          <w:sz w:val="28"/>
          <w:szCs w:val="28"/>
        </w:rPr>
        <w:t>C</w:t>
      </w:r>
      <w:r w:rsidRPr="00FB7BAC">
        <w:rPr>
          <w:b/>
          <w:bCs/>
          <w:sz w:val="28"/>
          <w:szCs w:val="28"/>
        </w:rPr>
        <w:t>alculating funding needs:</w:t>
      </w:r>
    </w:p>
    <w:p w14:paraId="4628603C" w14:textId="4FDF8BD8" w:rsidR="003543F6" w:rsidRDefault="00E85B2B">
      <w:pPr>
        <w:rPr>
          <w:sz w:val="28"/>
          <w:szCs w:val="28"/>
        </w:rPr>
      </w:pPr>
      <w:r>
        <w:rPr>
          <w:sz w:val="28"/>
          <w:szCs w:val="28"/>
        </w:rPr>
        <w:t>Budgeted by each OPs and consolidated by central authority: The funding needs shall be submitted by each of the OPs and then the consolidated amount will be generated by the central unit.</w:t>
      </w:r>
    </w:p>
    <w:p w14:paraId="1600B1DF" w14:textId="77777777" w:rsidR="003543F6" w:rsidRPr="00FB7BAC" w:rsidRDefault="00E85B2B">
      <w:pPr>
        <w:rPr>
          <w:b/>
          <w:bCs/>
          <w:sz w:val="28"/>
          <w:szCs w:val="28"/>
        </w:rPr>
      </w:pPr>
      <w:r w:rsidRPr="00FB7BAC">
        <w:rPr>
          <w:b/>
          <w:bCs/>
          <w:sz w:val="28"/>
          <w:szCs w:val="28"/>
        </w:rPr>
        <w:t>R</w:t>
      </w:r>
      <w:r w:rsidRPr="00FB7BAC">
        <w:rPr>
          <w:b/>
          <w:bCs/>
          <w:sz w:val="28"/>
          <w:szCs w:val="28"/>
        </w:rPr>
        <w:t>aising funds:</w:t>
      </w:r>
    </w:p>
    <w:p w14:paraId="33B463D9" w14:textId="443577E3" w:rsidR="003543F6" w:rsidRDefault="00E85B2B">
      <w:pPr>
        <w:rPr>
          <w:sz w:val="28"/>
          <w:szCs w:val="28"/>
        </w:rPr>
      </w:pPr>
      <w:r>
        <w:rPr>
          <w:sz w:val="28"/>
          <w:szCs w:val="28"/>
        </w:rPr>
        <w:t>This shall be collected by the central authority from the IMs through OPs and additional delegates per IM may be charged extra.</w:t>
      </w:r>
    </w:p>
    <w:p w14:paraId="2A673946" w14:textId="77777777" w:rsidR="003543F6" w:rsidRDefault="00E85B2B">
      <w:pPr>
        <w:rPr>
          <w:sz w:val="28"/>
          <w:szCs w:val="28"/>
        </w:rPr>
      </w:pPr>
      <w:r>
        <w:rPr>
          <w:sz w:val="28"/>
          <w:szCs w:val="28"/>
        </w:rPr>
        <w:t>W</w:t>
      </w:r>
      <w:r>
        <w:rPr>
          <w:sz w:val="28"/>
          <w:szCs w:val="28"/>
        </w:rPr>
        <w:t xml:space="preserve">e will thus need to make it viable for the companies to attend especially encourage SME/Startups </w:t>
      </w:r>
    </w:p>
    <w:p w14:paraId="550D0A2B" w14:textId="77777777" w:rsidR="003543F6" w:rsidRDefault="00E85B2B">
      <w:pPr>
        <w:pStyle w:val="Heading1"/>
        <w:ind w:left="0" w:firstLine="0"/>
      </w:pPr>
      <w:r>
        <w:t>D</w:t>
      </w:r>
      <w:r>
        <w:t>ISCUS</w:t>
      </w:r>
      <w:r>
        <w:t>SION:</w:t>
      </w:r>
    </w:p>
    <w:p w14:paraId="704C085B" w14:textId="77777777" w:rsidR="003543F6" w:rsidRPr="00FB7BAC" w:rsidRDefault="00E85B2B">
      <w:pPr>
        <w:spacing w:before="280" w:after="280"/>
        <w:rPr>
          <w:sz w:val="28"/>
          <w:szCs w:val="28"/>
        </w:rPr>
      </w:pPr>
      <w:r w:rsidRPr="00FB7BAC">
        <w:rPr>
          <w:sz w:val="28"/>
          <w:szCs w:val="28"/>
        </w:rPr>
        <w:t xml:space="preserve">For efficient discussion, based on the submitted contributions (and views by email), </w:t>
      </w:r>
    </w:p>
    <w:p w14:paraId="2FE98B1D" w14:textId="77777777" w:rsidR="003543F6" w:rsidRPr="00FB7BAC" w:rsidRDefault="00E85B2B">
      <w:pPr>
        <w:spacing w:before="280" w:after="280"/>
        <w:rPr>
          <w:sz w:val="28"/>
          <w:szCs w:val="28"/>
        </w:rPr>
      </w:pPr>
      <w:r w:rsidRPr="00FB7BAC">
        <w:rPr>
          <w:sz w:val="28"/>
          <w:szCs w:val="28"/>
        </w:rPr>
        <w:t>I try to summarize the proposals from management and funding perspective, as analyzed in the ETSI contribution shared.</w:t>
      </w:r>
    </w:p>
    <w:p w14:paraId="2D8A9B59" w14:textId="77777777" w:rsidR="003543F6" w:rsidRPr="00FB7BAC" w:rsidRDefault="00E85B2B">
      <w:pPr>
        <w:spacing w:before="280" w:after="280"/>
        <w:rPr>
          <w:sz w:val="28"/>
          <w:szCs w:val="28"/>
        </w:rPr>
      </w:pPr>
      <w:r w:rsidRPr="00FB7BAC">
        <w:rPr>
          <w:sz w:val="28"/>
          <w:szCs w:val="28"/>
        </w:rPr>
        <w:t xml:space="preserve">Please note that summary would be incorrect, </w:t>
      </w:r>
      <w:r w:rsidRPr="00FB7BAC">
        <w:rPr>
          <w:sz w:val="28"/>
          <w:szCs w:val="28"/>
        </w:rPr>
        <w:t>so check if my understanding is correct.</w:t>
      </w:r>
    </w:p>
    <w:p w14:paraId="2AB89A30" w14:textId="77777777" w:rsidR="00FB7BAC" w:rsidRDefault="00E85B2B">
      <w:pPr>
        <w:spacing w:before="280" w:after="280"/>
        <w:rPr>
          <w:sz w:val="28"/>
          <w:szCs w:val="28"/>
        </w:rPr>
      </w:pPr>
      <w:r w:rsidRPr="00FB7BAC">
        <w:rPr>
          <w:sz w:val="28"/>
          <w:szCs w:val="28"/>
        </w:rPr>
        <w:t>After introducing each contribution briefly, we could discuss the table to see if we can narrow down the options.</w:t>
      </w:r>
    </w:p>
    <w:p w14:paraId="7CF196DC" w14:textId="19F95012" w:rsidR="003543F6" w:rsidRPr="00FB7BAC" w:rsidRDefault="00E85B2B">
      <w:pPr>
        <w:spacing w:before="280" w:after="280"/>
        <w:rPr>
          <w:sz w:val="28"/>
          <w:szCs w:val="28"/>
        </w:rPr>
      </w:pPr>
      <w:r w:rsidRPr="00FB7BAC">
        <w:rPr>
          <w:b/>
          <w:sz w:val="28"/>
          <w:szCs w:val="28"/>
        </w:rPr>
        <w:lastRenderedPageBreak/>
        <w:t>A summary of the proposals</w:t>
      </w:r>
    </w:p>
    <w:tbl>
      <w:tblPr>
        <w:tblStyle w:val="a"/>
        <w:tblW w:w="9390" w:type="dxa"/>
        <w:tblInd w:w="-118" w:type="dxa"/>
        <w:tblLayout w:type="fixed"/>
        <w:tblLook w:val="0400" w:firstRow="0" w:lastRow="0" w:firstColumn="0" w:lastColumn="0" w:noHBand="0" w:noVBand="1"/>
      </w:tblPr>
      <w:tblGrid>
        <w:gridCol w:w="2044"/>
        <w:gridCol w:w="2448"/>
        <w:gridCol w:w="2449"/>
        <w:gridCol w:w="2449"/>
      </w:tblGrid>
      <w:tr w:rsidR="003543F6" w14:paraId="1B8A8D15" w14:textId="77777777" w:rsidTr="00FB7BAC">
        <w:tc>
          <w:tcPr>
            <w:tcW w:w="204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B356796" w14:textId="77777777" w:rsidR="003543F6" w:rsidRPr="00FB7BAC" w:rsidRDefault="00E85B2B">
            <w:r w:rsidRPr="00FB7BAC">
              <w:rPr>
                <w:b/>
              </w:rPr>
              <w:t>Management</w:t>
            </w:r>
          </w:p>
        </w:tc>
        <w:tc>
          <w:tcPr>
            <w:tcW w:w="7346"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AD3D476" w14:textId="77777777" w:rsidR="003543F6" w:rsidRPr="00FB7BAC" w:rsidRDefault="00E85B2B">
            <w:pPr>
              <w:jc w:val="center"/>
            </w:pPr>
            <w:r w:rsidRPr="00FB7BAC">
              <w:rPr>
                <w:b/>
              </w:rPr>
              <w:t>Funding (collection)</w:t>
            </w:r>
          </w:p>
        </w:tc>
      </w:tr>
      <w:tr w:rsidR="003543F6" w14:paraId="1A650096" w14:textId="77777777" w:rsidTr="00FB7BAC">
        <w:tc>
          <w:tcPr>
            <w:tcW w:w="2044"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D532CC8" w14:textId="77777777" w:rsidR="003543F6" w:rsidRPr="00FB7BAC" w:rsidRDefault="003543F6">
            <w:pPr>
              <w:widowControl w:val="0"/>
              <w:pBdr>
                <w:top w:val="nil"/>
                <w:left w:val="nil"/>
                <w:bottom w:val="nil"/>
                <w:right w:val="nil"/>
                <w:between w:val="nil"/>
              </w:pBdr>
              <w:spacing w:after="0" w:line="276" w:lineRule="auto"/>
            </w:pPr>
          </w:p>
        </w:tc>
        <w:tc>
          <w:tcPr>
            <w:tcW w:w="2448" w:type="dxa"/>
            <w:tcBorders>
              <w:top w:val="nil"/>
              <w:left w:val="nil"/>
              <w:bottom w:val="single" w:sz="8" w:space="0" w:color="000000"/>
              <w:right w:val="single" w:sz="8" w:space="0" w:color="000000"/>
            </w:tcBorders>
            <w:tcMar>
              <w:top w:w="0" w:type="dxa"/>
              <w:left w:w="108" w:type="dxa"/>
              <w:bottom w:w="0" w:type="dxa"/>
              <w:right w:w="108" w:type="dxa"/>
            </w:tcMar>
          </w:tcPr>
          <w:p w14:paraId="6AE9B970" w14:textId="77777777" w:rsidR="003543F6" w:rsidRPr="00FB7BAC" w:rsidRDefault="00E85B2B">
            <w:pPr>
              <w:spacing w:after="280"/>
              <w:jc w:val="center"/>
            </w:pPr>
            <w:r w:rsidRPr="00FB7BAC">
              <w:rPr>
                <w:b/>
              </w:rPr>
              <w:t>payment per OP</w:t>
            </w:r>
          </w:p>
          <w:p w14:paraId="237BF427" w14:textId="77777777" w:rsidR="003543F6" w:rsidRPr="00FB7BAC" w:rsidRDefault="00E85B2B">
            <w:pPr>
              <w:spacing w:before="280"/>
              <w:jc w:val="center"/>
            </w:pPr>
            <w:r w:rsidRPr="00FB7BAC">
              <w:rPr>
                <w:b/>
              </w:rPr>
              <w:t>(Option A)</w:t>
            </w:r>
          </w:p>
        </w:tc>
        <w:tc>
          <w:tcPr>
            <w:tcW w:w="2449" w:type="dxa"/>
            <w:tcBorders>
              <w:top w:val="nil"/>
              <w:left w:val="nil"/>
              <w:bottom w:val="single" w:sz="8" w:space="0" w:color="000000"/>
              <w:right w:val="single" w:sz="8" w:space="0" w:color="000000"/>
            </w:tcBorders>
            <w:tcMar>
              <w:top w:w="0" w:type="dxa"/>
              <w:left w:w="108" w:type="dxa"/>
              <w:bottom w:w="0" w:type="dxa"/>
              <w:right w:w="108" w:type="dxa"/>
            </w:tcMar>
          </w:tcPr>
          <w:p w14:paraId="65523663" w14:textId="77777777" w:rsidR="003543F6" w:rsidRPr="00FB7BAC" w:rsidRDefault="00E85B2B">
            <w:pPr>
              <w:jc w:val="center"/>
            </w:pPr>
            <w:r w:rsidRPr="00FB7BAC">
              <w:rPr>
                <w:b/>
              </w:rPr>
              <w:t>payment per delegate (Option B)</w:t>
            </w:r>
          </w:p>
        </w:tc>
        <w:tc>
          <w:tcPr>
            <w:tcW w:w="2449" w:type="dxa"/>
            <w:tcBorders>
              <w:top w:val="nil"/>
              <w:left w:val="nil"/>
              <w:bottom w:val="single" w:sz="8" w:space="0" w:color="000000"/>
              <w:right w:val="single" w:sz="8" w:space="0" w:color="000000"/>
            </w:tcBorders>
            <w:tcMar>
              <w:top w:w="0" w:type="dxa"/>
              <w:left w:w="108" w:type="dxa"/>
              <w:bottom w:w="0" w:type="dxa"/>
              <w:right w:w="108" w:type="dxa"/>
            </w:tcMar>
          </w:tcPr>
          <w:p w14:paraId="1DFD52FA" w14:textId="77777777" w:rsidR="003543F6" w:rsidRPr="00FB7BAC" w:rsidRDefault="00E85B2B">
            <w:pPr>
              <w:jc w:val="center"/>
            </w:pPr>
            <w:r w:rsidRPr="00FB7BAC">
              <w:rPr>
                <w:b/>
              </w:rPr>
              <w:t>Voluntary basis</w:t>
            </w:r>
          </w:p>
        </w:tc>
      </w:tr>
      <w:tr w:rsidR="003543F6" w14:paraId="1AF3BD00" w14:textId="77777777" w:rsidTr="00FB7BAC">
        <w:trPr>
          <w:trHeight w:val="812"/>
        </w:trPr>
        <w:tc>
          <w:tcPr>
            <w:tcW w:w="2044"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FD44413" w14:textId="77777777" w:rsidR="003543F6" w:rsidRPr="00FB7BAC" w:rsidRDefault="00E85B2B">
            <w:r w:rsidRPr="00FB7BAC">
              <w:rPr>
                <w:b/>
              </w:rPr>
              <w:t>Central management</w:t>
            </w:r>
          </w:p>
        </w:tc>
        <w:tc>
          <w:tcPr>
            <w:tcW w:w="2448" w:type="dxa"/>
            <w:tcBorders>
              <w:top w:val="nil"/>
              <w:left w:val="nil"/>
              <w:bottom w:val="single" w:sz="8" w:space="0" w:color="000000"/>
              <w:right w:val="single" w:sz="8" w:space="0" w:color="000000"/>
            </w:tcBorders>
            <w:tcMar>
              <w:top w:w="0" w:type="dxa"/>
              <w:left w:w="108" w:type="dxa"/>
              <w:bottom w:w="0" w:type="dxa"/>
              <w:right w:w="108" w:type="dxa"/>
            </w:tcMar>
          </w:tcPr>
          <w:p w14:paraId="7D444E9C" w14:textId="77777777" w:rsidR="003543F6" w:rsidRPr="00FB7BAC" w:rsidRDefault="00E85B2B">
            <w:pPr>
              <w:spacing w:after="280"/>
            </w:pPr>
            <w:r w:rsidRPr="00FB7BAC">
              <w:rPr>
                <w:color w:val="000000"/>
                <w:highlight w:val="yellow"/>
              </w:rPr>
              <w:t>ETSI (014)</w:t>
            </w:r>
          </w:p>
          <w:p w14:paraId="4088C257" w14:textId="77777777" w:rsidR="003543F6" w:rsidRPr="00FB7BAC" w:rsidRDefault="00E85B2B">
            <w:pPr>
              <w:spacing w:before="280"/>
            </w:pPr>
            <w:r w:rsidRPr="00FB7BAC">
              <w:rPr>
                <w:color w:val="000000"/>
                <w:shd w:val="clear" w:color="auto" w:fill="D3D3D3"/>
              </w:rPr>
              <w:t xml:space="preserve">ATIS(b): extend this to encompass the hosting </w:t>
            </w:r>
            <w:r w:rsidRPr="00FB7BAC">
              <w:t>(email)</w:t>
            </w:r>
          </w:p>
        </w:tc>
        <w:tc>
          <w:tcPr>
            <w:tcW w:w="2449" w:type="dxa"/>
            <w:tcBorders>
              <w:top w:val="nil"/>
              <w:left w:val="nil"/>
              <w:bottom w:val="single" w:sz="8" w:space="0" w:color="000000"/>
              <w:right w:val="single" w:sz="8" w:space="0" w:color="000000"/>
            </w:tcBorders>
            <w:tcMar>
              <w:top w:w="0" w:type="dxa"/>
              <w:left w:w="108" w:type="dxa"/>
              <w:bottom w:w="0" w:type="dxa"/>
              <w:right w:w="108" w:type="dxa"/>
            </w:tcMar>
          </w:tcPr>
          <w:p w14:paraId="59944D42" w14:textId="77777777" w:rsidR="003543F6" w:rsidRPr="00FB7BAC" w:rsidRDefault="00E85B2B">
            <w:r w:rsidRPr="00FB7BAC">
              <w:rPr>
                <w:b/>
              </w:rPr>
              <w:t>Delegate pays to play (5.3.2)</w:t>
            </w:r>
          </w:p>
        </w:tc>
        <w:tc>
          <w:tcPr>
            <w:tcW w:w="2449" w:type="dxa"/>
            <w:tcBorders>
              <w:top w:val="nil"/>
              <w:left w:val="nil"/>
              <w:bottom w:val="single" w:sz="8" w:space="0" w:color="000000"/>
              <w:right w:val="single" w:sz="8" w:space="0" w:color="000000"/>
            </w:tcBorders>
            <w:tcMar>
              <w:top w:w="0" w:type="dxa"/>
              <w:left w:w="108" w:type="dxa"/>
              <w:bottom w:w="0" w:type="dxa"/>
              <w:right w:w="108" w:type="dxa"/>
            </w:tcMar>
          </w:tcPr>
          <w:p w14:paraId="2964CC06" w14:textId="77777777" w:rsidR="003543F6" w:rsidRPr="00FB7BAC" w:rsidRDefault="00E85B2B">
            <w:r w:rsidRPr="00FB7BAC">
              <w:t> </w:t>
            </w:r>
          </w:p>
        </w:tc>
      </w:tr>
      <w:tr w:rsidR="003543F6" w14:paraId="01F4A72B" w14:textId="77777777" w:rsidTr="00FB7BAC">
        <w:trPr>
          <w:trHeight w:val="272"/>
        </w:trPr>
        <w:tc>
          <w:tcPr>
            <w:tcW w:w="2044" w:type="dxa"/>
            <w:vMerge/>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3A67308" w14:textId="77777777" w:rsidR="003543F6" w:rsidRPr="00FB7BAC" w:rsidRDefault="003543F6">
            <w:pPr>
              <w:widowControl w:val="0"/>
              <w:pBdr>
                <w:top w:val="nil"/>
                <w:left w:val="nil"/>
                <w:bottom w:val="nil"/>
                <w:right w:val="nil"/>
                <w:between w:val="nil"/>
              </w:pBdr>
              <w:spacing w:after="0" w:line="276" w:lineRule="auto"/>
            </w:pPr>
          </w:p>
        </w:tc>
        <w:tc>
          <w:tcPr>
            <w:tcW w:w="4897" w:type="dxa"/>
            <w:gridSpan w:val="2"/>
            <w:tcBorders>
              <w:top w:val="nil"/>
              <w:left w:val="nil"/>
              <w:bottom w:val="single" w:sz="8" w:space="0" w:color="000000"/>
              <w:right w:val="single" w:sz="8" w:space="0" w:color="000000"/>
            </w:tcBorders>
            <w:tcMar>
              <w:top w:w="0" w:type="dxa"/>
              <w:left w:w="108" w:type="dxa"/>
              <w:bottom w:w="0" w:type="dxa"/>
              <w:right w:w="108" w:type="dxa"/>
            </w:tcMar>
          </w:tcPr>
          <w:p w14:paraId="7397BF10" w14:textId="77777777" w:rsidR="003543F6" w:rsidRPr="00FB7BAC" w:rsidRDefault="00E85B2B">
            <w:r w:rsidRPr="00FB7BAC">
              <w:rPr>
                <w:color w:val="000000"/>
                <w:highlight w:val="yellow"/>
              </w:rPr>
              <w:t>RAN chair (018</w:t>
            </w:r>
            <w:proofErr w:type="gramStart"/>
            <w:r w:rsidRPr="00FB7BAC">
              <w:rPr>
                <w:color w:val="000000"/>
                <w:highlight w:val="yellow"/>
              </w:rPr>
              <w:t>) :</w:t>
            </w:r>
            <w:proofErr w:type="gramEnd"/>
            <w:r w:rsidRPr="00FB7BAC">
              <w:rPr>
                <w:color w:val="000000"/>
                <w:highlight w:val="yellow"/>
              </w:rPr>
              <w:t xml:space="preserve"> combine the advantages of both models</w:t>
            </w:r>
          </w:p>
        </w:tc>
        <w:tc>
          <w:tcPr>
            <w:tcW w:w="2449" w:type="dxa"/>
            <w:tcBorders>
              <w:top w:val="nil"/>
              <w:left w:val="nil"/>
              <w:bottom w:val="single" w:sz="8" w:space="0" w:color="000000"/>
              <w:right w:val="single" w:sz="8" w:space="0" w:color="000000"/>
            </w:tcBorders>
            <w:tcMar>
              <w:top w:w="0" w:type="dxa"/>
              <w:left w:w="108" w:type="dxa"/>
              <w:bottom w:w="0" w:type="dxa"/>
              <w:right w:w="108" w:type="dxa"/>
            </w:tcMar>
          </w:tcPr>
          <w:p w14:paraId="1F89BBC1" w14:textId="77777777" w:rsidR="003543F6" w:rsidRPr="00FB7BAC" w:rsidRDefault="00E85B2B">
            <w:r w:rsidRPr="00FB7BAC">
              <w:t> </w:t>
            </w:r>
          </w:p>
        </w:tc>
      </w:tr>
      <w:tr w:rsidR="003543F6" w14:paraId="14784DDB" w14:textId="77777777" w:rsidTr="00FB7BAC">
        <w:trPr>
          <w:trHeight w:val="886"/>
        </w:trPr>
        <w:tc>
          <w:tcPr>
            <w:tcW w:w="204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BDDE1C" w14:textId="77777777" w:rsidR="003543F6" w:rsidRPr="00FB7BAC" w:rsidRDefault="00E85B2B">
            <w:r w:rsidRPr="00FB7BAC">
              <w:rPr>
                <w:b/>
              </w:rPr>
              <w:t>Per OP</w:t>
            </w:r>
          </w:p>
        </w:tc>
        <w:tc>
          <w:tcPr>
            <w:tcW w:w="2448" w:type="dxa"/>
            <w:tcBorders>
              <w:top w:val="nil"/>
              <w:left w:val="nil"/>
              <w:bottom w:val="single" w:sz="8" w:space="0" w:color="000000"/>
              <w:right w:val="single" w:sz="8" w:space="0" w:color="000000"/>
            </w:tcBorders>
            <w:tcMar>
              <w:top w:w="0" w:type="dxa"/>
              <w:left w:w="108" w:type="dxa"/>
              <w:bottom w:w="0" w:type="dxa"/>
              <w:right w:w="108" w:type="dxa"/>
            </w:tcMar>
          </w:tcPr>
          <w:p w14:paraId="0BFEA893" w14:textId="77777777" w:rsidR="003543F6" w:rsidRPr="00FB7BAC" w:rsidRDefault="00E85B2B">
            <w:pPr>
              <w:spacing w:after="280"/>
            </w:pPr>
            <w:r w:rsidRPr="00FB7BAC">
              <w:rPr>
                <w:b/>
              </w:rPr>
              <w:t>Hosting Tax (5.3.1)</w:t>
            </w:r>
          </w:p>
          <w:p w14:paraId="4395D60F" w14:textId="77777777" w:rsidR="003543F6" w:rsidRPr="00FB7BAC" w:rsidRDefault="00E85B2B">
            <w:pPr>
              <w:spacing w:before="280"/>
            </w:pPr>
            <w:r w:rsidRPr="00FB7BAC">
              <w:rPr>
                <w:color w:val="000000"/>
                <w:highlight w:val="yellow"/>
              </w:rPr>
              <w:t>SA chair (013</w:t>
            </w:r>
            <w:proofErr w:type="gramStart"/>
            <w:r w:rsidRPr="00FB7BAC">
              <w:rPr>
                <w:color w:val="000000"/>
                <w:highlight w:val="yellow"/>
              </w:rPr>
              <w:t>) :</w:t>
            </w:r>
            <w:proofErr w:type="gramEnd"/>
            <w:r w:rsidRPr="00FB7BAC">
              <w:rPr>
                <w:color w:val="000000"/>
                <w:highlight w:val="yellow"/>
              </w:rPr>
              <w:t xml:space="preserve"> fairness can be achieved by structuring the tax</w:t>
            </w:r>
          </w:p>
        </w:tc>
        <w:tc>
          <w:tcPr>
            <w:tcW w:w="2449" w:type="dxa"/>
            <w:tcBorders>
              <w:top w:val="nil"/>
              <w:left w:val="nil"/>
              <w:bottom w:val="single" w:sz="8" w:space="0" w:color="000000"/>
              <w:right w:val="single" w:sz="8" w:space="0" w:color="000000"/>
            </w:tcBorders>
            <w:tcMar>
              <w:top w:w="0" w:type="dxa"/>
              <w:left w:w="108" w:type="dxa"/>
              <w:bottom w:w="0" w:type="dxa"/>
              <w:right w:w="108" w:type="dxa"/>
            </w:tcMar>
          </w:tcPr>
          <w:p w14:paraId="6641E24D" w14:textId="77777777" w:rsidR="003543F6" w:rsidRPr="00FB7BAC" w:rsidRDefault="00E85B2B">
            <w:r w:rsidRPr="00FB7BAC">
              <w:t> </w:t>
            </w:r>
          </w:p>
        </w:tc>
        <w:tc>
          <w:tcPr>
            <w:tcW w:w="2449" w:type="dxa"/>
            <w:tcBorders>
              <w:top w:val="nil"/>
              <w:left w:val="nil"/>
              <w:bottom w:val="single" w:sz="8" w:space="0" w:color="000000"/>
              <w:right w:val="single" w:sz="8" w:space="0" w:color="000000"/>
            </w:tcBorders>
            <w:tcMar>
              <w:top w:w="0" w:type="dxa"/>
              <w:left w:w="108" w:type="dxa"/>
              <w:bottom w:w="0" w:type="dxa"/>
              <w:right w:w="108" w:type="dxa"/>
            </w:tcMar>
          </w:tcPr>
          <w:p w14:paraId="0893908C" w14:textId="77777777" w:rsidR="003543F6" w:rsidRPr="00FB7BAC" w:rsidRDefault="00E85B2B">
            <w:pPr>
              <w:spacing w:after="280"/>
            </w:pPr>
            <w:r w:rsidRPr="00FB7BAC">
              <w:t>Current funding model</w:t>
            </w:r>
          </w:p>
          <w:p w14:paraId="201D05E8" w14:textId="77777777" w:rsidR="003543F6" w:rsidRPr="00FB7BAC" w:rsidRDefault="00E85B2B">
            <w:pPr>
              <w:spacing w:before="280"/>
            </w:pPr>
            <w:r w:rsidRPr="00FB7BAC">
              <w:rPr>
                <w:color w:val="000000"/>
                <w:shd w:val="clear" w:color="auto" w:fill="D3D3D3"/>
              </w:rPr>
              <w:t>ATIS(a): modify this to force mandatory contributions</w:t>
            </w:r>
            <w:r w:rsidRPr="00FB7BAC">
              <w:t>(email)</w:t>
            </w:r>
          </w:p>
        </w:tc>
      </w:tr>
    </w:tbl>
    <w:p w14:paraId="664F835A" w14:textId="77777777" w:rsidR="003543F6" w:rsidRPr="00FB7BAC" w:rsidRDefault="00E85B2B">
      <w:pPr>
        <w:spacing w:before="280" w:after="280"/>
        <w:rPr>
          <w:sz w:val="28"/>
          <w:szCs w:val="28"/>
        </w:rPr>
      </w:pPr>
      <w:r>
        <w:rPr>
          <w:color w:val="FFFFFF"/>
        </w:rPr>
        <w:t> </w:t>
      </w:r>
      <w:r w:rsidRPr="00FB7BAC">
        <w:rPr>
          <w:sz w:val="28"/>
          <w:szCs w:val="28"/>
        </w:rPr>
        <w:t>Please also note Criteria for funding model (from clause 4.3):</w:t>
      </w:r>
    </w:p>
    <w:p w14:paraId="136F07C3" w14:textId="77777777" w:rsidR="003543F6" w:rsidRPr="00FB7BAC" w:rsidRDefault="00E85B2B">
      <w:pPr>
        <w:spacing w:before="280" w:after="280" w:line="240" w:lineRule="auto"/>
        <w:rPr>
          <w:sz w:val="28"/>
          <w:szCs w:val="28"/>
        </w:rPr>
      </w:pPr>
      <w:r w:rsidRPr="00FB7BAC">
        <w:rPr>
          <w:sz w:val="28"/>
          <w:szCs w:val="28"/>
        </w:rPr>
        <w:t>O Equality: all IMs should take a fair share in the hosting costs. (Fairness)</w:t>
      </w:r>
    </w:p>
    <w:p w14:paraId="2589852E" w14:textId="77777777" w:rsidR="003543F6" w:rsidRPr="00FB7BAC" w:rsidRDefault="00E85B2B">
      <w:pPr>
        <w:spacing w:before="280" w:after="280" w:line="240" w:lineRule="auto"/>
        <w:rPr>
          <w:sz w:val="28"/>
          <w:szCs w:val="28"/>
        </w:rPr>
      </w:pPr>
      <w:r w:rsidRPr="00FB7BAC">
        <w:rPr>
          <w:sz w:val="28"/>
          <w:szCs w:val="28"/>
        </w:rPr>
        <w:t>O Transparency: hosting budgetary matters are transp</w:t>
      </w:r>
      <w:r w:rsidRPr="00FB7BAC">
        <w:rPr>
          <w:sz w:val="28"/>
          <w:szCs w:val="28"/>
        </w:rPr>
        <w:t>arent to all IMs.</w:t>
      </w:r>
    </w:p>
    <w:p w14:paraId="27C6F82D" w14:textId="77777777" w:rsidR="003543F6" w:rsidRPr="00FB7BAC" w:rsidRDefault="00E85B2B">
      <w:pPr>
        <w:spacing w:before="280" w:after="280" w:line="240" w:lineRule="auto"/>
        <w:rPr>
          <w:sz w:val="28"/>
          <w:szCs w:val="28"/>
        </w:rPr>
      </w:pPr>
      <w:r w:rsidRPr="00FB7BAC">
        <w:rPr>
          <w:sz w:val="28"/>
          <w:szCs w:val="28"/>
        </w:rPr>
        <w:t>O Accountability: important for IMs’ own yearly budgeting.</w:t>
      </w:r>
    </w:p>
    <w:p w14:paraId="172B8E3F" w14:textId="77777777" w:rsidR="003543F6" w:rsidRPr="00FB7BAC" w:rsidRDefault="00E85B2B">
      <w:pPr>
        <w:spacing w:before="280" w:after="280"/>
        <w:rPr>
          <w:sz w:val="28"/>
          <w:szCs w:val="28"/>
        </w:rPr>
      </w:pPr>
      <w:r w:rsidRPr="00FB7BAC">
        <w:rPr>
          <w:sz w:val="28"/>
          <w:szCs w:val="28"/>
        </w:rPr>
        <w:t>O Predictability: important for IMs’ own yearly budgeting.</w:t>
      </w:r>
    </w:p>
    <w:p w14:paraId="7CFCCDB1" w14:textId="77777777" w:rsidR="003543F6" w:rsidRDefault="00E85B2B">
      <w:pPr>
        <w:pStyle w:val="Heading1"/>
      </w:pPr>
      <w:r>
        <w:t> Conclusions</w:t>
      </w:r>
    </w:p>
    <w:p w14:paraId="096BF218" w14:textId="77777777" w:rsidR="003543F6" w:rsidRPr="00FB7BAC" w:rsidRDefault="00E85B2B">
      <w:pPr>
        <w:pBdr>
          <w:top w:val="nil"/>
          <w:left w:val="nil"/>
          <w:bottom w:val="nil"/>
          <w:right w:val="nil"/>
          <w:between w:val="nil"/>
        </w:pBdr>
        <w:spacing w:line="240" w:lineRule="auto"/>
        <w:rPr>
          <w:color w:val="000000"/>
          <w:sz w:val="28"/>
          <w:szCs w:val="28"/>
        </w:rPr>
      </w:pPr>
      <w:r w:rsidRPr="00FB7BAC">
        <w:rPr>
          <w:color w:val="000000"/>
          <w:sz w:val="28"/>
          <w:szCs w:val="28"/>
        </w:rPr>
        <w:t>Given the focus TSDSI and most other geographies have on SMEs/ start-ups for enlarging participation to new</w:t>
      </w:r>
      <w:r w:rsidRPr="00FB7BAC">
        <w:rPr>
          <w:color w:val="000000"/>
          <w:sz w:val="28"/>
          <w:szCs w:val="28"/>
        </w:rPr>
        <w:t xml:space="preserve"> members we would like to propose</w:t>
      </w:r>
    </w:p>
    <w:p w14:paraId="0D3340B0" w14:textId="77777777" w:rsidR="003543F6" w:rsidRPr="00FB7BAC" w:rsidRDefault="00E85B2B">
      <w:pPr>
        <w:numPr>
          <w:ilvl w:val="0"/>
          <w:numId w:val="1"/>
        </w:numPr>
        <w:spacing w:before="280" w:after="0" w:line="240" w:lineRule="auto"/>
        <w:rPr>
          <w:sz w:val="28"/>
          <w:szCs w:val="28"/>
        </w:rPr>
      </w:pPr>
      <w:r w:rsidRPr="00FB7BAC">
        <w:rPr>
          <w:sz w:val="28"/>
          <w:szCs w:val="28"/>
        </w:rPr>
        <w:t>One/two delegate per IM per meeting should be accommodated free of charge.</w:t>
      </w:r>
      <w:bookmarkStart w:id="1" w:name="_GoBack"/>
      <w:bookmarkEnd w:id="1"/>
    </w:p>
    <w:p w14:paraId="02455BBC" w14:textId="77777777" w:rsidR="003543F6" w:rsidRPr="00FB7BAC" w:rsidRDefault="00E85B2B">
      <w:pPr>
        <w:numPr>
          <w:ilvl w:val="0"/>
          <w:numId w:val="1"/>
        </w:numPr>
        <w:spacing w:after="280" w:line="240" w:lineRule="auto"/>
        <w:rPr>
          <w:sz w:val="28"/>
          <w:szCs w:val="28"/>
        </w:rPr>
      </w:pPr>
      <w:r w:rsidRPr="00FB7BAC">
        <w:rPr>
          <w:sz w:val="28"/>
          <w:szCs w:val="28"/>
        </w:rPr>
        <w:t>Any additional delegates from IMs would have to pay the registration fees as proposed.</w:t>
      </w:r>
    </w:p>
    <w:sectPr w:rsidR="003543F6" w:rsidRPr="00FB7BAC">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06F69"/>
    <w:multiLevelType w:val="multilevel"/>
    <w:tmpl w:val="B42C6F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F6"/>
    <w:rsid w:val="003543F6"/>
    <w:rsid w:val="00E85B2B"/>
    <w:rsid w:val="00FB7B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636F7"/>
  <w15:docId w15:val="{2C23711C-3D00-495C-BA39-BB60CFCC9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line="240" w:lineRule="auto"/>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FB7B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Vanshika Verma</dc:creator>
  <cp:lastModifiedBy>Akash Malik</cp:lastModifiedBy>
  <cp:revision>2</cp:revision>
  <dcterms:created xsi:type="dcterms:W3CDTF">2020-02-05T08:57:00Z</dcterms:created>
  <dcterms:modified xsi:type="dcterms:W3CDTF">2020-02-05T08:57:00Z</dcterms:modified>
</cp:coreProperties>
</file>